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A86" w:rsidRPr="0069529C" w:rsidRDefault="007E3A86" w:rsidP="007E3A86">
      <w:pPr>
        <w:spacing w:before="120" w:after="120"/>
        <w:jc w:val="right"/>
        <w:rPr>
          <w:rFonts w:ascii="Calibri" w:hAnsi="Calibri" w:cs="Calibri"/>
          <w:b/>
          <w:sz w:val="22"/>
          <w:szCs w:val="22"/>
          <w:lang w:eastAsia="en-GB"/>
        </w:rPr>
      </w:pPr>
      <w:bookmarkStart w:id="0" w:name="_GoBack"/>
      <w:bookmarkEnd w:id="0"/>
      <w:r>
        <w:rPr>
          <w:rFonts w:ascii="Calibri" w:hAnsi="Calibri" w:cs="Calibri"/>
          <w:b/>
          <w:sz w:val="22"/>
          <w:szCs w:val="22"/>
          <w:lang w:eastAsia="en-GB"/>
        </w:rPr>
        <w:t>Anexa 1</w:t>
      </w:r>
      <w:r w:rsidR="008127D5">
        <w:rPr>
          <w:rFonts w:ascii="Calibri" w:hAnsi="Calibri" w:cs="Calibri"/>
          <w:b/>
          <w:sz w:val="22"/>
          <w:szCs w:val="22"/>
          <w:lang w:eastAsia="en-GB"/>
        </w:rPr>
        <w:t>7</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1"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E11EB3" w:rsidRDefault="00E11EB3" w:rsidP="008C42FF">
      <w:pPr>
        <w:ind w:left="426"/>
        <w:rPr>
          <w:rFonts w:ascii="Calibri" w:eastAsia="Arial" w:hAnsi="Calibri" w:cs="Calibri"/>
          <w:b/>
          <w:spacing w:val="-1"/>
        </w:rPr>
      </w:pPr>
    </w:p>
    <w:p w:rsidR="0069529C" w:rsidRPr="006F0920" w:rsidRDefault="0069529C" w:rsidP="008C42FF">
      <w:pPr>
        <w:ind w:left="426"/>
        <w:rPr>
          <w:rFonts w:ascii="Calibri" w:eastAsia="Arial" w:hAnsi="Calibri" w:cs="Calibri"/>
        </w:rPr>
      </w:pPr>
      <w:r w:rsidRPr="006F0920">
        <w:rPr>
          <w:rFonts w:ascii="Calibri" w:eastAsia="Arial" w:hAnsi="Calibri" w:cs="Calibri"/>
          <w:b/>
          <w:spacing w:val="-1"/>
        </w:rPr>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w:t>
      </w:r>
      <w:r w:rsidRPr="006F0920">
        <w:rPr>
          <w:rFonts w:eastAsia="Arial" w:cs="Calibri"/>
          <w:sz w:val="24"/>
          <w:szCs w:val="24"/>
          <w:lang w:val="ro-RO"/>
        </w:rPr>
        <w:lastRenderedPageBreak/>
        <w:t>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încetarea unei activități productive sau transferul acesteia în afara regiunii de nivel NUTS 2 în care a primit sprijin;</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ph"/>
        <w:tabs>
          <w:tab w:val="left" w:pos="709"/>
        </w:tabs>
        <w:ind w:right="76"/>
        <w:jc w:val="both"/>
        <w:rPr>
          <w:rFonts w:eastAsia="Arial" w:cs="Calibri"/>
          <w:sz w:val="24"/>
          <w:szCs w:val="24"/>
          <w:lang w:val="ro-RO"/>
        </w:rPr>
      </w:pPr>
    </w:p>
    <w:p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2"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2"/>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FootnoteReference"/>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 xml:space="preserve">Mecanismul </w:t>
      </w:r>
      <w:proofErr w:type="spellStart"/>
      <w:r w:rsidRPr="006F0920">
        <w:rPr>
          <w:rFonts w:ascii="Calibri" w:eastAsia="Arial" w:hAnsi="Calibri" w:cs="Calibri"/>
          <w:b/>
          <w:spacing w:val="-8"/>
        </w:rPr>
        <w:t>prefinanțării</w:t>
      </w:r>
      <w:proofErr w:type="spellEnd"/>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eastAsia="Arial" w:cs="Calibri"/>
          <w:sz w:val="24"/>
          <w:szCs w:val="24"/>
          <w:lang w:val="ro-RO"/>
          <w:specVanish/>
        </w:rPr>
        <w:t>tranziţie</w:t>
      </w:r>
      <w:proofErr w:type="spellEnd"/>
      <w:r w:rsidRPr="006F0920">
        <w:rPr>
          <w:rFonts w:eastAsia="Arial" w:cs="Calibri"/>
          <w:sz w:val="24"/>
          <w:szCs w:val="24"/>
          <w:lang w:val="ro-RO"/>
          <w:specVanish/>
        </w:rPr>
        <w:t xml:space="preserve"> justă.</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6F0920">
        <w:rPr>
          <w:rFonts w:eastAsia="Arial" w:cs="Calibri"/>
          <w:sz w:val="24"/>
          <w:szCs w:val="24"/>
          <w:lang w:val="ro-RO"/>
        </w:rPr>
        <w:lastRenderedPageBreak/>
        <w:t>/organismul abilitat și de a asigura accesul neîngrădit al acestora la documente în locul respectiv.</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F0920">
        <w:rPr>
          <w:rFonts w:cs="Calibri"/>
          <w:sz w:val="24"/>
          <w:szCs w:val="24"/>
          <w:lang w:val="ro-RO"/>
        </w:rPr>
        <w:t xml:space="preserve"> </w:t>
      </w:r>
    </w:p>
    <w:p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modificarea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completarea </w:t>
      </w:r>
      <w:hyperlink r:id="rId10" w:history="1">
        <w:r w:rsidRPr="006F0920">
          <w:rPr>
            <w:rFonts w:eastAsia="Arial" w:cs="Calibri"/>
            <w:sz w:val="24"/>
            <w:szCs w:val="24"/>
            <w:lang w:val="ro-RO"/>
          </w:rPr>
          <w:t xml:space="preserve">Legii </w:t>
        </w:r>
        <w:proofErr w:type="spellStart"/>
        <w:r w:rsidRPr="006F0920">
          <w:rPr>
            <w:rFonts w:eastAsia="Arial" w:cs="Calibri"/>
            <w:sz w:val="24"/>
            <w:szCs w:val="24"/>
            <w:lang w:val="ro-RO"/>
          </w:rPr>
          <w:t>concurenţei</w:t>
        </w:r>
        <w:proofErr w:type="spellEnd"/>
        <w:r w:rsidRPr="006F0920">
          <w:rPr>
            <w:rFonts w:eastAsia="Arial" w:cs="Calibri"/>
            <w:sz w:val="24"/>
            <w:szCs w:val="24"/>
            <w:lang w:val="ro-RO"/>
          </w:rPr>
          <w:t xml:space="preserve">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w:t>
      </w:r>
      <w:r w:rsidRPr="006F0920">
        <w:rPr>
          <w:rFonts w:eastAsia="Arial" w:cs="Calibri"/>
          <w:sz w:val="24"/>
          <w:szCs w:val="24"/>
          <w:lang w:val="ro-RO"/>
        </w:rPr>
        <w:lastRenderedPageBreak/>
        <w:t xml:space="preserve">proiectului, cu respectarea prevederilor legislației europene și naționale aplicabile și ale prezentului contract de finanțare. </w:t>
      </w:r>
    </w:p>
    <w:p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își asumă integral răspunderea pentru prejudiciile cauzate terților din culpa sa, pe durata contractului. AM va fi degrevată de orice responsabilitate pentru prejudiciile </w:t>
      </w:r>
      <w:r w:rsidRPr="006F0920">
        <w:rPr>
          <w:rFonts w:eastAsia="Arial" w:cs="Calibri"/>
          <w:sz w:val="24"/>
          <w:szCs w:val="24"/>
          <w:lang w:val="ro-RO"/>
        </w:rPr>
        <w:lastRenderedPageBreak/>
        <w:t>cauzate terților de către Beneficiar, ca urmare a executării prezentului contract de finanțare, cu excepția celor care pot fi direct imputabile acestora.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w:t>
      </w:r>
      <w:r w:rsidRPr="006F0920">
        <w:rPr>
          <w:rFonts w:cs="Calibri"/>
          <w:sz w:val="24"/>
          <w:szCs w:val="24"/>
          <w:lang w:val="ro-RO"/>
        </w:rPr>
        <w:lastRenderedPageBreak/>
        <w:t>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w:t>
      </w:r>
      <w:r w:rsidRPr="006F0920">
        <w:rPr>
          <w:rFonts w:eastAsia="Arial" w:cs="Calibri"/>
          <w:spacing w:val="-1"/>
          <w:sz w:val="24"/>
          <w:szCs w:val="24"/>
          <w:lang w:val="ro-RO"/>
        </w:rPr>
        <w:lastRenderedPageBreak/>
        <w:t>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proofErr w:type="spellStart"/>
      <w:r w:rsidRPr="006F0920">
        <w:rPr>
          <w:rFonts w:eastAsia="Arial" w:cs="Calibri"/>
          <w:spacing w:val="1"/>
          <w:position w:val="1"/>
          <w:sz w:val="24"/>
          <w:szCs w:val="24"/>
          <w:lang w:val="ro-RO"/>
        </w:rPr>
        <w:t>ț</w:t>
      </w:r>
      <w:r w:rsidRPr="006F0920">
        <w:rPr>
          <w:rFonts w:eastAsia="Arial" w:cs="Calibri"/>
          <w:position w:val="1"/>
          <w:sz w:val="24"/>
          <w:szCs w:val="24"/>
          <w:lang w:val="ro-RO"/>
        </w:rPr>
        <w:t>ă</w:t>
      </w:r>
      <w:proofErr w:type="spellEnd"/>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str.   Decebal   nr.   11,   Alba Iulia,  județul  Alba,  România,  cod  postal 510093,     poștă     electronică: office@adrcentru.ro</w:t>
      </w:r>
      <w:r w:rsidRPr="006F0920">
        <w:rPr>
          <w:rFonts w:cs="Calibri"/>
          <w:sz w:val="24"/>
          <w:szCs w:val="24"/>
          <w:lang w:val="ro-RO"/>
        </w:rPr>
        <w:t>;</w:t>
      </w: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Default="009314F2"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lastRenderedPageBreak/>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 xml:space="preserve">Completarea și modificarea Condițiilor generale privind acordarea și recuperarea </w:t>
      </w:r>
      <w:proofErr w:type="spellStart"/>
      <w:r w:rsidRPr="006F0920">
        <w:rPr>
          <w:rFonts w:ascii="Calibri" w:hAnsi="Calibri" w:cs="Calibri"/>
          <w:b/>
        </w:rPr>
        <w:t>prefinanțării</w:t>
      </w:r>
      <w:proofErr w:type="spellEnd"/>
      <w:r w:rsidRPr="006F0920">
        <w:rPr>
          <w:rFonts w:ascii="Calibri" w:hAnsi="Calibri" w:cs="Calibri"/>
          <w:b/>
        </w:rPr>
        <w:t>:</w:t>
      </w:r>
    </w:p>
    <w:p w:rsidR="001B13AF" w:rsidRPr="006F0920" w:rsidRDefault="001B13AF" w:rsidP="003F3CCE">
      <w:pPr>
        <w:ind w:left="426"/>
        <w:jc w:val="both"/>
        <w:rPr>
          <w:rFonts w:ascii="Calibri" w:hAnsi="Calibri" w:cs="Calibri"/>
          <w:b/>
        </w:rPr>
      </w:pPr>
    </w:p>
    <w:p w:rsidR="005B016A" w:rsidRPr="006F0920"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Cu exepțiile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6F0920"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6F0920"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136BA6" w:rsidRPr="006F0920" w:rsidRDefault="00136BA6" w:rsidP="003F3CCE">
      <w:pPr>
        <w:ind w:left="426"/>
        <w:jc w:val="both"/>
        <w:rPr>
          <w:rFonts w:ascii="Calibri" w:hAnsi="Calibri" w:cs="Calibri"/>
          <w:b/>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lastRenderedPageBreak/>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şi/sau finalizării contractelor de achiziţie publică aferente contractelor de </w:t>
      </w:r>
      <w:r w:rsidR="0002739A" w:rsidRPr="006F0920">
        <w:rPr>
          <w:rFonts w:cs="Calibri"/>
          <w:sz w:val="24"/>
          <w:szCs w:val="24"/>
          <w:shd w:val="clear" w:color="auto" w:fill="FFFFFF"/>
          <w:lang w:val="ro-RO"/>
        </w:rPr>
        <w:t>finanțare</w:t>
      </w:r>
      <w:r w:rsidRPr="006F0920">
        <w:rPr>
          <w:rFonts w:cs="Calibri"/>
          <w:sz w:val="24"/>
          <w:szCs w:val="24"/>
          <w:shd w:val="clear" w:color="auto" w:fill="FFFFFF"/>
          <w:lang w:val="ro-RO"/>
        </w:rPr>
        <w:t xml:space="preserve">, în </w:t>
      </w:r>
      <w:r w:rsidR="0002739A" w:rsidRPr="006F0920">
        <w:rPr>
          <w:rFonts w:cs="Calibri"/>
          <w:sz w:val="24"/>
          <w:szCs w:val="24"/>
          <w:shd w:val="clear" w:color="auto" w:fill="FFFFFF"/>
          <w:lang w:val="ro-RO"/>
        </w:rPr>
        <w:t>condițiile</w:t>
      </w:r>
      <w:r w:rsidRPr="006F0920">
        <w:rPr>
          <w:rFonts w:cs="Calibri"/>
          <w:sz w:val="24"/>
          <w:szCs w:val="24"/>
          <w:shd w:val="clear" w:color="auto" w:fill="FFFFFF"/>
          <w:lang w:val="ro-RO"/>
        </w:rPr>
        <w:t xml:space="preserv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lastRenderedPageBreak/>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ph"/>
        <w:numPr>
          <w:ilvl w:val="0"/>
          <w:numId w:val="3"/>
        </w:numPr>
        <w:ind w:left="426" w:hanging="426"/>
        <w:jc w:val="both"/>
        <w:rPr>
          <w:rFonts w:cs="Calibri"/>
          <w:sz w:val="24"/>
          <w:szCs w:val="24"/>
          <w:lang w:val="ro-RO"/>
        </w:rPr>
      </w:pPr>
      <w:r w:rsidRPr="006F0920">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6F0920" w:rsidRDefault="005B016A" w:rsidP="005A7E22">
      <w:pPr>
        <w:pStyle w:val="ListParagraph"/>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partenerul nou aparține categoriei de parteneri eligibili conform Ghidului 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lastRenderedPageBreak/>
        <w:t xml:space="preserve">schimbarea respectivă este determinată de retragerea unuia sau a mai multor parteneri, şi </w:t>
      </w:r>
    </w:p>
    <w:p w:rsidR="005B016A" w:rsidRPr="006F0920" w:rsidRDefault="00392435"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282E0C" w:rsidRDefault="00314A1F" w:rsidP="00285FAF">
      <w:pPr>
        <w:pStyle w:val="ListParagraph"/>
        <w:ind w:left="426"/>
        <w:rPr>
          <w:rFonts w:cs="Calibri"/>
          <w:sz w:val="24"/>
          <w:szCs w:val="24"/>
          <w:lang w:val="ro-RO"/>
        </w:rPr>
      </w:pPr>
      <w:r w:rsidRPr="006F0920">
        <w:rPr>
          <w:rFonts w:cs="Calibri"/>
          <w:i/>
          <w:sz w:val="24"/>
          <w:szCs w:val="24"/>
          <w:lang w:val="ro-RO"/>
        </w:rPr>
        <w:t>(</w:t>
      </w:r>
      <w:r w:rsidRPr="00282E0C">
        <w:rPr>
          <w:rFonts w:cs="Calibri"/>
          <w:i/>
          <w:sz w:val="24"/>
          <w:szCs w:val="24"/>
          <w:lang w:val="ro-RO"/>
        </w:rPr>
        <w:t>in cazul Beneficiarilor publici</w:t>
      </w:r>
      <w:r w:rsidRPr="00282E0C">
        <w:rPr>
          <w:rFonts w:cs="Calibri"/>
          <w:sz w:val="24"/>
          <w:szCs w:val="24"/>
          <w:lang w:val="ro-RO"/>
        </w:rPr>
        <w:t>)</w:t>
      </w:r>
    </w:p>
    <w:p w:rsidR="005B016A" w:rsidRPr="00282E0C" w:rsidRDefault="00314A1F" w:rsidP="00855A93">
      <w:pPr>
        <w:pStyle w:val="ListParagraph"/>
        <w:numPr>
          <w:ilvl w:val="0"/>
          <w:numId w:val="19"/>
        </w:numPr>
        <w:ind w:left="426" w:hanging="426"/>
        <w:jc w:val="both"/>
        <w:rPr>
          <w:rFonts w:cs="Calibri"/>
          <w:sz w:val="24"/>
          <w:szCs w:val="24"/>
          <w:lang w:val="ro-RO"/>
        </w:rPr>
      </w:pPr>
      <w:r w:rsidRPr="00282E0C">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282E0C">
        <w:rPr>
          <w:rFonts w:cs="Calibri"/>
          <w:sz w:val="24"/>
          <w:szCs w:val="24"/>
          <w:lang w:val="ro-RO" w:eastAsia="de-DE"/>
        </w:rPr>
        <w:t xml:space="preserve">minim </w:t>
      </w:r>
      <w:r w:rsidRPr="00282E0C">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282E0C" w:rsidRDefault="000E18B4" w:rsidP="00855A93">
      <w:pPr>
        <w:pStyle w:val="ListParagraph"/>
        <w:ind w:left="426"/>
        <w:jc w:val="both"/>
        <w:rPr>
          <w:rFonts w:cs="Calibri"/>
          <w:sz w:val="24"/>
          <w:szCs w:val="24"/>
          <w:lang w:val="ro-RO"/>
        </w:rPr>
      </w:pPr>
      <w:r w:rsidRPr="00282E0C">
        <w:rPr>
          <w:rFonts w:cs="Calibri"/>
          <w:i/>
          <w:sz w:val="24"/>
          <w:szCs w:val="24"/>
          <w:lang w:val="ro-RO"/>
        </w:rPr>
        <w:t>(in cazul Beneficiarilor privați</w:t>
      </w:r>
      <w:r w:rsidRPr="00282E0C">
        <w:rPr>
          <w:rFonts w:cs="Calibri"/>
          <w:sz w:val="24"/>
          <w:szCs w:val="24"/>
          <w:lang w:val="ro-RO"/>
        </w:rPr>
        <w:t>)</w:t>
      </w:r>
    </w:p>
    <w:p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w:t>
      </w:r>
      <w:r w:rsidRPr="006F0920">
        <w:rPr>
          <w:rFonts w:cs="Calibri"/>
          <w:sz w:val="24"/>
          <w:szCs w:val="24"/>
        </w:rPr>
        <w:lastRenderedPageBreak/>
        <w:t>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ph"/>
        <w:spacing w:before="120" w:after="120" w:line="252" w:lineRule="auto"/>
        <w:rPr>
          <w:rFonts w:cs="Calibri"/>
          <w:sz w:val="24"/>
          <w:szCs w:val="24"/>
          <w:lang w:val="ro-RO"/>
        </w:rPr>
      </w:pPr>
    </w:p>
    <w:p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lastRenderedPageBreak/>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02739A">
        <w:rPr>
          <w:rFonts w:cs="Calibri"/>
          <w:b/>
          <w:sz w:val="24"/>
          <w:szCs w:val="24"/>
        </w:rPr>
        <w:t>A</w:t>
      </w:r>
      <w:proofErr w:type="spellStart"/>
      <w:r w:rsidRPr="006F0920">
        <w:rPr>
          <w:rFonts w:cs="Calibri"/>
          <w:b/>
          <w:bCs/>
          <w:sz w:val="24"/>
          <w:szCs w:val="24"/>
          <w:lang w:val="ro-RO"/>
        </w:rPr>
        <w:t>utocolante</w:t>
      </w:r>
      <w:proofErr w:type="spellEnd"/>
      <w:r w:rsidRPr="006F0920">
        <w:rPr>
          <w:rFonts w:cs="Calibri"/>
          <w:b/>
          <w:bCs/>
          <w:sz w:val="24"/>
          <w:szCs w:val="24"/>
          <w:lang w:val="ro-RO"/>
        </w:rPr>
        <w:t>/plăcuțe: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w:t>
      </w:r>
      <w:r w:rsidRPr="006F0920">
        <w:rPr>
          <w:rFonts w:cs="Calibri"/>
          <w:sz w:val="24"/>
          <w:szCs w:val="24"/>
          <w:lang w:val="ro-RO"/>
        </w:rPr>
        <w:lastRenderedPageBreak/>
        <w:t>casete/butoane dedicate. Website-ul/Pagina dedicată proiectului va conține și un link către site-ul www.fonduri-ue.ro, cu mențiunea „Pentru informații detaliate despre celelalte programe cofinanțate de Uniunea Europeană, vă invităm să vizitați www.fonduri-ue.ro”.</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w:t>
      </w:r>
      <w:r w:rsidR="00F056C6">
        <w:rPr>
          <w:rFonts w:cs="Calibri"/>
          <w:sz w:val="24"/>
          <w:szCs w:val="24"/>
          <w:lang w:val="ro-RO"/>
        </w:rPr>
        <w:t xml:space="preserve"> www.regiocentru</w:t>
      </w:r>
      <w:r w:rsidRPr="006F0920">
        <w:rPr>
          <w:rFonts w:cs="Calibri"/>
          <w:sz w:val="24"/>
          <w:szCs w:val="24"/>
          <w:lang w:val="ro-RO"/>
        </w:rPr>
        <w:t>.ro I www.</w:t>
      </w:r>
      <w:r w:rsidR="00F056C6">
        <w:rPr>
          <w:rFonts w:cs="Calibri"/>
          <w:sz w:val="24"/>
          <w:szCs w:val="24"/>
          <w:lang w:val="ro-RO"/>
        </w:rPr>
        <w:t>adrcentru.</w:t>
      </w:r>
      <w:r w:rsidRPr="006F0920">
        <w:rPr>
          <w:rFonts w:cs="Calibri"/>
          <w:sz w:val="24"/>
          <w:szCs w:val="24"/>
          <w:lang w:val="ro-RO"/>
        </w:rPr>
        <w:t>ro specifice ale Programului.</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ph"/>
        <w:autoSpaceDE w:val="0"/>
        <w:autoSpaceDN w:val="0"/>
        <w:spacing w:before="120"/>
        <w:ind w:left="1440"/>
        <w:jc w:val="both"/>
        <w:rPr>
          <w:rFonts w:cs="Calibri"/>
          <w:sz w:val="24"/>
          <w:szCs w:val="24"/>
          <w:lang w:val="ro-RO"/>
        </w:rPr>
      </w:pPr>
    </w:p>
    <w:p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lastRenderedPageBreak/>
        <w:t>Realizarea unui clip de prezentarea la finalizarea proiectului, care va cuprinde cadrele filmate pe parcursul implementării proiectului</w:t>
      </w:r>
    </w:p>
    <w:p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w:t>
      </w:r>
      <w:r w:rsidR="0002739A" w:rsidRPr="006F0920">
        <w:rPr>
          <w:rFonts w:ascii="Calibri" w:hAnsi="Calibri" w:cs="Calibri"/>
          <w:lang w:val="ro-RO"/>
        </w:rPr>
        <w:t>dispoziții</w:t>
      </w:r>
      <w:r w:rsidRPr="006F0920">
        <w:rPr>
          <w:rFonts w:ascii="Calibri" w:hAnsi="Calibri" w:cs="Calibri"/>
          <w:lang w:val="ro-RO"/>
        </w:rPr>
        <w:t xml:space="preserve">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6D4CC5" w:rsidRDefault="006D4CC5"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E11EB3" w:rsidRDefault="00E11EB3">
      <w:pPr>
        <w:rPr>
          <w:rFonts w:ascii="Calibri" w:hAnsi="Calibri" w:cs="Calibri"/>
        </w:rPr>
      </w:pPr>
      <w:r>
        <w:rPr>
          <w:rFonts w:ascii="Calibri" w:hAnsi="Calibri" w:cs="Calibri"/>
        </w:rPr>
        <w:br w:type="page"/>
      </w:r>
    </w:p>
    <w:p w:rsidR="00AE77D1" w:rsidRPr="006F0920" w:rsidRDefault="00AE77D1" w:rsidP="005B016A">
      <w:pPr>
        <w:ind w:firstLine="360"/>
        <w:jc w:val="both"/>
        <w:rPr>
          <w:rFonts w:ascii="Calibri" w:hAnsi="Calibri" w:cs="Calibri"/>
        </w:rPr>
      </w:pPr>
    </w:p>
    <w:p w:rsidR="008754A2" w:rsidRPr="006F0920"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t>Secțiunea II – Condiții specifice aplicabile apelului</w:t>
      </w:r>
    </w:p>
    <w:p w:rsidR="008127D5" w:rsidRPr="008127D5" w:rsidRDefault="008127D5" w:rsidP="008127D5">
      <w:pPr>
        <w:keepNext/>
        <w:keepLines/>
        <w:spacing w:line="259" w:lineRule="auto"/>
        <w:jc w:val="both"/>
        <w:outlineLvl w:val="0"/>
        <w:rPr>
          <w:rFonts w:ascii="Calibri" w:hAnsi="Calibri"/>
          <w:b/>
          <w:szCs w:val="22"/>
          <w:lang w:val="en-US" w:eastAsia="en-US"/>
        </w:rPr>
      </w:pPr>
      <w:proofErr w:type="spellStart"/>
      <w:r w:rsidRPr="008127D5">
        <w:rPr>
          <w:rFonts w:ascii="Calibri" w:hAnsi="Calibri"/>
          <w:b/>
          <w:szCs w:val="22"/>
          <w:lang w:val="en-US" w:eastAsia="en-US"/>
        </w:rPr>
        <w:t>Articolul</w:t>
      </w:r>
      <w:proofErr w:type="spellEnd"/>
      <w:r w:rsidRPr="008127D5">
        <w:rPr>
          <w:rFonts w:ascii="Calibri" w:hAnsi="Calibri"/>
          <w:b/>
          <w:szCs w:val="22"/>
          <w:lang w:val="en-US" w:eastAsia="en-US"/>
        </w:rPr>
        <w:t xml:space="preserve"> 1- Alte </w:t>
      </w:r>
      <w:r w:rsidR="0002739A" w:rsidRPr="008127D5">
        <w:rPr>
          <w:rFonts w:ascii="Calibri" w:hAnsi="Calibri"/>
          <w:b/>
          <w:szCs w:val="22"/>
          <w:lang w:val="en-US" w:eastAsia="en-US"/>
        </w:rPr>
        <w:t>obbligati</w:t>
      </w:r>
      <w:r w:rsidRPr="008127D5">
        <w:rPr>
          <w:rFonts w:ascii="Calibri" w:hAnsi="Calibri"/>
          <w:b/>
          <w:szCs w:val="22"/>
          <w:lang w:val="en-US" w:eastAsia="en-US"/>
        </w:rPr>
        <w:t xml:space="preserve"> ale </w:t>
      </w:r>
      <w:proofErr w:type="spellStart"/>
      <w:r w:rsidRPr="008127D5">
        <w:rPr>
          <w:rFonts w:ascii="Calibri" w:hAnsi="Calibri"/>
          <w:b/>
          <w:szCs w:val="22"/>
          <w:lang w:val="en-US" w:eastAsia="en-US"/>
        </w:rPr>
        <w:t>beneficiarului</w:t>
      </w:r>
      <w:proofErr w:type="spellEnd"/>
    </w:p>
    <w:p w:rsidR="008127D5" w:rsidRPr="008127D5" w:rsidRDefault="008127D5" w:rsidP="008127D5">
      <w:pPr>
        <w:spacing w:line="259" w:lineRule="auto"/>
        <w:jc w:val="both"/>
        <w:rPr>
          <w:rFonts w:ascii="Calibri" w:eastAsia="Calibri" w:hAnsi="Calibri"/>
          <w:sz w:val="22"/>
          <w:szCs w:val="22"/>
          <w:lang w:eastAsia="en-US"/>
        </w:rPr>
      </w:pP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Condițiile generale.</w:t>
      </w:r>
    </w:p>
    <w:p w:rsidR="008127D5" w:rsidRPr="008127D5" w:rsidRDefault="008127D5" w:rsidP="008127D5">
      <w:pPr>
        <w:ind w:left="360"/>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 Dacă este cazul, </w:t>
      </w:r>
      <w:r w:rsidR="0050607A">
        <w:rPr>
          <w:rFonts w:ascii="Calibri" w:eastAsia="Calibri" w:hAnsi="Calibri" w:cs="Calibri"/>
          <w:szCs w:val="22"/>
          <w:lang w:eastAsia="en-US"/>
        </w:rPr>
        <w:t>t</w:t>
      </w:r>
      <w:r w:rsidRPr="008127D5">
        <w:rPr>
          <w:rFonts w:ascii="Calibri" w:eastAsia="Calibri" w:hAnsi="Calibri" w:cs="Calibri"/>
          <w:szCs w:val="22"/>
          <w:lang w:eastAsia="en-US"/>
        </w:rPr>
        <w:t>ransmiterea dreptului de folosință/administrare asupra obiectelor/bunurilor realizate prin proiect către o terță parte pentru îndeplinirea activităților corespunzătoare obiectivelor proiectului, se poate face numai printr-o procedură transparentă și nediscriminatorie, în condițiile legii, cu respectarea prevederilor art. 107 din Tratatul privind Funcționarea Uniunii Europene, precum și cu respectarea condiției de ajustare corespunzătoare a finanțării nerambursabile acordate în cadrul contractului de finanțare în cazul proiectelor generatoare de profit. Nerespectarea condiției de transmitere a dreptului de folosință/administrare anterior menționat poate conduce la rezilierea și recuperarea sumelor plătite, în conformitate cu prevederile prezentului contract.</w:t>
      </w:r>
    </w:p>
    <w:p w:rsid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Dacă este cazul, </w:t>
      </w:r>
      <w:r w:rsidRPr="008127D5">
        <w:rPr>
          <w:rFonts w:ascii="Calibri" w:eastAsia="Calibri" w:hAnsi="Calibri" w:cs="Calibri"/>
          <w:szCs w:val="22"/>
          <w:lang w:eastAsia="en-US"/>
        </w:rPr>
        <w:tab/>
        <w:t xml:space="preserve">Beneficiarul poate transmite, în condițiile legii, pe perioada de durabilitate prevăzută la art. 2 alin. (5) din Condiții generale, realizarea serviciilor de administrare asupra obiectelor/bunurilor realizate prin proiect către o structură competentă aflată în subordinea sa, exclusiv pentru îndeplinirea obiectivelor proiectului. </w:t>
      </w:r>
    </w:p>
    <w:p w:rsidR="000659D0" w:rsidRPr="00292756" w:rsidRDefault="000659D0" w:rsidP="00292756">
      <w:pPr>
        <w:pStyle w:val="ListParagraph"/>
        <w:numPr>
          <w:ilvl w:val="0"/>
          <w:numId w:val="60"/>
        </w:numPr>
        <w:jc w:val="both"/>
        <w:rPr>
          <w:rFonts w:eastAsia="Calibri" w:cs="Calibri"/>
          <w:sz w:val="24"/>
          <w:lang w:val="ro-RO"/>
        </w:rPr>
      </w:pPr>
      <w:r w:rsidRPr="00292756">
        <w:rPr>
          <w:rFonts w:eastAsia="Calibri" w:cs="Calibri"/>
          <w:sz w:val="24"/>
          <w:lang w:val="ro-RO"/>
        </w:rPr>
        <w:t xml:space="preserve">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w:t>
      </w:r>
      <w:r w:rsidR="00A05105" w:rsidRPr="00292756">
        <w:rPr>
          <w:rFonts w:eastAsia="Calibri" w:cs="Calibri"/>
          <w:sz w:val="24"/>
          <w:lang w:val="ro-RO"/>
        </w:rPr>
        <w:t>veniturile din taxele percepute vizitatorilor / utilizatorilor (bilete/tarife, etc.) nu vor depăși 50% din cheltuielile de exploatare ale investiției ce face obiectul proiectului</w:t>
      </w:r>
      <w:r w:rsidRPr="00292756">
        <w:rPr>
          <w:rFonts w:eastAsia="Calibri" w:cs="Calibri"/>
          <w:sz w:val="24"/>
          <w:lang w:val="ro-RO"/>
        </w:rPr>
        <w:t>.</w:t>
      </w:r>
    </w:p>
    <w:p w:rsidR="008127D5" w:rsidRPr="008127D5" w:rsidRDefault="008127D5" w:rsidP="008127D5">
      <w:pPr>
        <w:ind w:left="360"/>
        <w:contextualSpacing/>
        <w:jc w:val="both"/>
        <w:rPr>
          <w:rFonts w:ascii="Calibri" w:eastAsia="Calibri" w:hAnsi="Calibri" w:cs="Calibri"/>
          <w:color w:val="FF0000"/>
          <w:szCs w:val="22"/>
          <w:lang w:eastAsia="en-US"/>
        </w:rPr>
      </w:pP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rsidR="008127D5" w:rsidRPr="008127D5" w:rsidRDefault="008127D5" w:rsidP="008127D5">
      <w:pPr>
        <w:ind w:left="360"/>
        <w:contextualSpacing/>
        <w:jc w:val="both"/>
        <w:rPr>
          <w:rFonts w:ascii="Calibri" w:eastAsia="Calibri" w:hAnsi="Calibri" w:cs="Calibri"/>
          <w:color w:val="FF0000"/>
          <w:szCs w:val="22"/>
          <w:lang w:eastAsia="en-US"/>
        </w:rPr>
      </w:pP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lastRenderedPageBreak/>
        <w:t>În cazul în care, pe perioada de implementare și durabilitate a contractului de finanţare, instituțiile abilitate în verificarea, auditarea și controlul implementării Programului "Regiunea Centru" 2021-2027 decid că respectiva investiție intră sub incidența ajutorului de stat, cererea de finanțare va fi declarată neeligibilă şi se va dispune recuperarea ajutorului de stat şi a dobânzilor aferente, în conformitate cu legislația în vigoare.</w:t>
      </w:r>
    </w:p>
    <w:p w:rsidR="008127D5" w:rsidRPr="008127D5" w:rsidRDefault="008127D5" w:rsidP="008127D5">
      <w:pPr>
        <w:ind w:left="360"/>
        <w:contextualSpacing/>
        <w:jc w:val="both"/>
        <w:rPr>
          <w:rFonts w:ascii="Calibri" w:eastAsia="Calibri" w:hAnsi="Calibri" w:cs="Calibri"/>
          <w:szCs w:val="22"/>
          <w:lang w:eastAsia="en-US"/>
        </w:rPr>
      </w:pPr>
    </w:p>
    <w:p w:rsidR="008127D5" w:rsidRPr="008127D5" w:rsidRDefault="008127D5" w:rsidP="008127D5">
      <w:pPr>
        <w:numPr>
          <w:ilvl w:val="0"/>
          <w:numId w:val="60"/>
        </w:numPr>
        <w:spacing w:after="160" w:line="259" w:lineRule="auto"/>
        <w:ind w:left="0" w:firstLine="0"/>
        <w:contextualSpacing/>
        <w:jc w:val="both"/>
        <w:rPr>
          <w:rFonts w:ascii="Calibri" w:eastAsia="Calibri" w:hAnsi="Calibri" w:cs="Calibri"/>
          <w:szCs w:val="22"/>
          <w:lang w:eastAsia="en-US"/>
        </w:rPr>
      </w:pPr>
      <w:r w:rsidRPr="008127D5">
        <w:rPr>
          <w:rFonts w:ascii="Calibri" w:eastAsia="Calibri" w:hAnsi="Calibri" w:cs="Calibri"/>
          <w:bCs/>
          <w:szCs w:val="22"/>
          <w:lang w:eastAsia="en-US"/>
        </w:rPr>
        <w:t>Conform art. 6 din OUG 156/2020, beneficiarii municipii reședință de județ și municipii au obligația să încheie contracte de achiziție publică în condițiile legii pentru cel puțin 70% din valoarea granturilor alocate prin bugetele aprobate cu această destinație, pe o perioadă de 3 ani de la data încheierii contractelor de finanțare conform procedurilor legale.</w:t>
      </w:r>
      <w:r w:rsidRPr="008127D5">
        <w:rPr>
          <w:rFonts w:ascii="Calibri" w:eastAsia="Calibri" w:hAnsi="Calibri"/>
          <w:b/>
          <w:bCs/>
          <w:szCs w:val="22"/>
          <w:lang w:eastAsia="en-US"/>
        </w:rPr>
        <w:t xml:space="preserve"> </w:t>
      </w:r>
      <w:r w:rsidRPr="008127D5">
        <w:rPr>
          <w:rFonts w:ascii="Calibri" w:eastAsia="Calibri" w:hAnsi="Calibri" w:cs="Calibri"/>
          <w:bCs/>
          <w:szCs w:val="22"/>
          <w:lang w:eastAsia="en-US"/>
        </w:rPr>
        <w:t>În situația în care unitățile administrativ-teritoriale nu încheie contracte de achiziție publică în termenul stabilit, diferențele de sume rămase necontractate se constituie într-un buget destinat acestei măsuri pentru toate unitățile administrativ-teritoriale eligibile, destinat unui apel de proiecte de tip competitiv.</w:t>
      </w:r>
    </w:p>
    <w:p w:rsidR="008127D5" w:rsidRPr="008127D5" w:rsidRDefault="008127D5" w:rsidP="008127D5">
      <w:pPr>
        <w:numPr>
          <w:ilvl w:val="0"/>
          <w:numId w:val="60"/>
        </w:numPr>
        <w:spacing w:after="160" w:line="259" w:lineRule="auto"/>
        <w:ind w:left="0" w:firstLine="0"/>
        <w:contextualSpacing/>
        <w:jc w:val="both"/>
        <w:rPr>
          <w:rFonts w:ascii="Calibri" w:eastAsia="Calibri" w:hAnsi="Calibri" w:cs="Calibri"/>
          <w:szCs w:val="22"/>
          <w:lang w:eastAsia="en-US"/>
        </w:rPr>
      </w:pPr>
      <w:r w:rsidRPr="008127D5">
        <w:rPr>
          <w:rFonts w:ascii="Calibri" w:eastAsia="Calibri" w:hAnsi="Calibri" w:cs="Calibri"/>
          <w:szCs w:val="22"/>
          <w:lang w:eastAsia="en-US"/>
        </w:rPr>
        <w:t>Dacă este cazul</w:t>
      </w:r>
      <w:r w:rsidRPr="008127D5">
        <w:rPr>
          <w:rFonts w:ascii="Calibri" w:eastAsia="Calibri" w:hAnsi="Calibri" w:cs="Calibri"/>
          <w:szCs w:val="22"/>
          <w:vertAlign w:val="superscript"/>
          <w:lang w:eastAsia="en-US"/>
        </w:rPr>
        <w:footnoteReference w:id="3"/>
      </w:r>
      <w:r w:rsidRPr="008127D5">
        <w:rPr>
          <w:rFonts w:ascii="Calibri" w:eastAsia="Calibri" w:hAnsi="Calibri" w:cs="Calibri"/>
          <w:szCs w:val="22"/>
          <w:lang w:eastAsia="en-US"/>
        </w:rPr>
        <w:t>, beneficiarul are obligația de a-și</w:t>
      </w:r>
      <w:r w:rsidRPr="008127D5">
        <w:rPr>
          <w:rFonts w:ascii="Calibri" w:eastAsia="Calibri" w:hAnsi="Calibri" w:cs="Calibri"/>
          <w:bCs/>
          <w:szCs w:val="22"/>
          <w:lang w:eastAsia="en-US"/>
        </w:rPr>
        <w:t xml:space="preserve"> păstra statutul de stațiune turistică balneară, climatică sau balneoclimatică, conform prevederilor OG nr. 109/2000, cu modificările și completările ulterioare, avut la momentul semnării contractului de finanțare </w:t>
      </w:r>
      <w:r w:rsidRPr="008127D5">
        <w:rPr>
          <w:rFonts w:ascii="Calibri" w:eastAsia="Calibri" w:hAnsi="Calibri" w:cs="Calibri"/>
          <w:szCs w:val="22"/>
          <w:lang w:eastAsia="en-US"/>
        </w:rPr>
        <w:t>pe întreaga perioadă de durabilitate a contractului de finanțare, în caz contrar AM PR poate dispune, după caz, rezilierea și/sau recuperarea sumelor plătite, în conformitate cu prevederile prezentului contract.</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Dacă este cazul</w:t>
      </w:r>
      <w:r w:rsidRPr="0050607A">
        <w:rPr>
          <w:rFonts w:ascii="Calibri" w:eastAsia="Calibri" w:hAnsi="Calibri" w:cs="Calibri"/>
          <w:szCs w:val="22"/>
          <w:vertAlign w:val="superscript"/>
          <w:lang w:eastAsia="en-US"/>
        </w:rPr>
        <w:footnoteReference w:id="4"/>
      </w:r>
      <w:r w:rsidRPr="0050607A">
        <w:rPr>
          <w:rFonts w:ascii="Calibri" w:eastAsia="Calibri" w:hAnsi="Calibri" w:cs="Calibri"/>
          <w:szCs w:val="22"/>
          <w:lang w:eastAsia="en-US"/>
        </w:rPr>
        <w:t xml:space="preserve">, Beneficiarul are obligația de a include total sau parțial în circuitul </w:t>
      </w:r>
      <w:r w:rsidR="0050607A" w:rsidRPr="0050607A">
        <w:rPr>
          <w:rFonts w:ascii="Calibri" w:eastAsia="Calibri" w:hAnsi="Calibri" w:cs="Calibri"/>
          <w:szCs w:val="22"/>
          <w:lang w:eastAsia="en-US"/>
        </w:rPr>
        <w:t xml:space="preserve">public </w:t>
      </w:r>
      <w:r w:rsidRPr="0050607A">
        <w:rPr>
          <w:rFonts w:ascii="Calibri" w:eastAsia="Calibri" w:hAnsi="Calibri" w:cs="Calibri"/>
          <w:szCs w:val="22"/>
          <w:lang w:eastAsia="en-US"/>
        </w:rPr>
        <w:t>obiectivul de patrimoniu vizat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clădirea identificată ca obiectiv de patrimoniu este declasată în conformitate cu prevederile legale în vigoare, oricând pe perioada de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w:t>
      </w:r>
    </w:p>
    <w:p w:rsidR="004A44AC" w:rsidRDefault="008127D5" w:rsidP="004A44AC">
      <w:pPr>
        <w:numPr>
          <w:ilvl w:val="0"/>
          <w:numId w:val="60"/>
        </w:numPr>
        <w:spacing w:after="160" w:line="259" w:lineRule="auto"/>
        <w:contextualSpacing/>
        <w:jc w:val="both"/>
        <w:rPr>
          <w:rFonts w:ascii="Calibri" w:eastAsia="Calibri" w:hAnsi="Calibri" w:cs="Calibri"/>
          <w:szCs w:val="22"/>
          <w:lang w:eastAsia="en-US"/>
        </w:rPr>
      </w:pPr>
      <w:r w:rsidRPr="004A44AC">
        <w:rPr>
          <w:rFonts w:ascii="Calibri" w:eastAsia="Calibri" w:hAnsi="Calibri" w:cs="Calibri"/>
          <w:szCs w:val="22"/>
          <w:lang w:eastAsia="en-US"/>
        </w:rPr>
        <w:t xml:space="preserve">Pentru activități </w:t>
      </w:r>
      <w:r w:rsidR="00CE42B7" w:rsidRPr="004A44AC">
        <w:rPr>
          <w:rFonts w:ascii="Calibri" w:eastAsia="Calibri" w:hAnsi="Calibri" w:cs="Calibri"/>
          <w:szCs w:val="22"/>
          <w:lang w:eastAsia="en-US"/>
        </w:rPr>
        <w:t>de creștere/dezvoltare a capacității administrative a beneficiarilor și de cooperare</w:t>
      </w:r>
      <w:r w:rsidRPr="004A44AC">
        <w:rPr>
          <w:rFonts w:ascii="Calibri" w:eastAsia="Calibri" w:hAnsi="Calibri" w:cs="Calibri"/>
          <w:szCs w:val="22"/>
          <w:lang w:eastAsia="en-US"/>
        </w:rPr>
        <w:t xml:space="preserve"> vizând realizarea obiectivului specific privind promovarea dezvoltării integrate și incluzive în domeniul social, economic și al mediului, precum și a culturii, a patrimoniului natural, a turismului sustenabil și a securității în zonele urbane beneficiarul are obligația, în etapa de implementare, transmiterii livrabilelor care atestă realizarea acestora</w:t>
      </w:r>
    </w:p>
    <w:p w:rsidR="008127D5" w:rsidRPr="00282E0C" w:rsidRDefault="008127D5" w:rsidP="000659D0">
      <w:pPr>
        <w:numPr>
          <w:ilvl w:val="0"/>
          <w:numId w:val="60"/>
        </w:numPr>
        <w:spacing w:after="160" w:line="259" w:lineRule="auto"/>
        <w:contextualSpacing/>
        <w:jc w:val="both"/>
        <w:rPr>
          <w:rFonts w:ascii="Calibri" w:eastAsia="Calibri" w:hAnsi="Calibri" w:cs="Calibri"/>
          <w:szCs w:val="22"/>
          <w:lang w:eastAsia="en-US"/>
        </w:rPr>
      </w:pPr>
      <w:r w:rsidRPr="004A44AC">
        <w:rPr>
          <w:rFonts w:ascii="Calibri" w:eastAsia="Calibri" w:hAnsi="Calibri" w:cs="Calibri"/>
          <w:iCs/>
          <w:szCs w:val="22"/>
          <w:lang w:eastAsia="en-US"/>
        </w:rPr>
        <w:t xml:space="preserve">La un an </w:t>
      </w:r>
      <w:r w:rsidRPr="00282E0C">
        <w:rPr>
          <w:rFonts w:ascii="Calibri" w:eastAsia="Calibri" w:hAnsi="Calibri" w:cs="Calibri"/>
          <w:iCs/>
          <w:szCs w:val="22"/>
          <w:lang w:eastAsia="en-US"/>
        </w:rPr>
        <w:t>de la finalizarea proiectului</w:t>
      </w:r>
      <w:r w:rsidR="004A44AC" w:rsidRPr="00282E0C">
        <w:rPr>
          <w:rFonts w:ascii="Calibri" w:eastAsia="Calibri" w:hAnsi="Calibri" w:cs="Calibri"/>
          <w:iCs/>
          <w:szCs w:val="22"/>
          <w:lang w:eastAsia="en-US"/>
        </w:rPr>
        <w:t>, Beneficiarul are obligația</w:t>
      </w:r>
      <w:r w:rsidRPr="00282E0C">
        <w:rPr>
          <w:rFonts w:ascii="Calibri" w:eastAsia="Calibri" w:hAnsi="Calibri" w:cs="Calibri"/>
          <w:iCs/>
          <w:szCs w:val="22"/>
          <w:lang w:eastAsia="en-US"/>
        </w:rPr>
        <w:t xml:space="preserve"> să transmită - Calculul </w:t>
      </w:r>
      <w:r w:rsidR="000659D0" w:rsidRPr="00282E0C">
        <w:rPr>
          <w:rFonts w:ascii="Calibri" w:eastAsia="Calibri" w:hAnsi="Calibri" w:cs="Calibri"/>
          <w:iCs/>
          <w:szCs w:val="22"/>
          <w:lang w:eastAsia="en-US"/>
        </w:rPr>
        <w:t>în ceea ce privește creșterea numărului de vizitatori/număr de vizitatori ai obiectivelor turistice/patrimoniu</w:t>
      </w:r>
      <w:r w:rsidR="00897742" w:rsidRPr="00282E0C">
        <w:rPr>
          <w:rFonts w:ascii="Calibri" w:eastAsia="Calibri" w:hAnsi="Calibri" w:cs="Calibri"/>
          <w:iCs/>
          <w:szCs w:val="22"/>
          <w:lang w:eastAsia="en-US"/>
        </w:rPr>
        <w:t>/culturale</w:t>
      </w:r>
      <w:r w:rsidR="000659D0" w:rsidRPr="00282E0C">
        <w:rPr>
          <w:rFonts w:ascii="Calibri" w:eastAsia="Calibri" w:hAnsi="Calibri" w:cs="Calibri"/>
          <w:iCs/>
          <w:szCs w:val="22"/>
          <w:lang w:eastAsia="en-US"/>
        </w:rPr>
        <w:t xml:space="preserve"> care beneficiază de sprijin</w:t>
      </w:r>
      <w:r w:rsidRPr="00282E0C">
        <w:rPr>
          <w:rFonts w:ascii="Calibri" w:eastAsia="Calibri" w:hAnsi="Calibri" w:cs="Calibri"/>
          <w:iCs/>
          <w:szCs w:val="22"/>
          <w:lang w:eastAsia="en-US"/>
        </w:rPr>
        <w:t>.</w:t>
      </w:r>
    </w:p>
    <w:p w:rsidR="004A44AC" w:rsidRDefault="004A44AC" w:rsidP="004A44AC">
      <w:pPr>
        <w:contextualSpacing/>
        <w:jc w:val="both"/>
        <w:rPr>
          <w:rFonts w:ascii="Calibri" w:eastAsia="Calibri" w:hAnsi="Calibri" w:cs="Calibri"/>
          <w:b/>
          <w:iCs/>
          <w:color w:val="FF0000"/>
          <w:szCs w:val="22"/>
          <w:lang w:eastAsia="en-US"/>
        </w:rPr>
      </w:pPr>
    </w:p>
    <w:p w:rsidR="0002739A" w:rsidRDefault="0002739A" w:rsidP="004A44AC">
      <w:pPr>
        <w:contextualSpacing/>
        <w:jc w:val="both"/>
        <w:rPr>
          <w:rFonts w:ascii="Calibri" w:eastAsia="Calibri" w:hAnsi="Calibri" w:cs="Calibri"/>
          <w:b/>
          <w:iCs/>
          <w:szCs w:val="22"/>
          <w:lang w:eastAsia="en-US"/>
        </w:rPr>
      </w:pPr>
    </w:p>
    <w:p w:rsidR="0002739A" w:rsidRDefault="0002739A" w:rsidP="004A44AC">
      <w:pPr>
        <w:contextualSpacing/>
        <w:jc w:val="both"/>
        <w:rPr>
          <w:rFonts w:ascii="Calibri" w:eastAsia="Calibri" w:hAnsi="Calibri" w:cs="Calibri"/>
          <w:b/>
          <w:iCs/>
          <w:szCs w:val="22"/>
          <w:lang w:eastAsia="en-US"/>
        </w:rPr>
      </w:pPr>
    </w:p>
    <w:p w:rsidR="004A44AC" w:rsidRPr="004A44AC" w:rsidRDefault="004A44AC" w:rsidP="004A44AC">
      <w:pPr>
        <w:contextualSpacing/>
        <w:jc w:val="both"/>
        <w:rPr>
          <w:rFonts w:ascii="Calibri" w:eastAsia="Calibri" w:hAnsi="Calibri" w:cs="Calibri"/>
          <w:b/>
          <w:iCs/>
          <w:szCs w:val="22"/>
          <w:lang w:eastAsia="en-US"/>
        </w:rPr>
      </w:pPr>
      <w:r w:rsidRPr="004A44AC">
        <w:rPr>
          <w:rFonts w:ascii="Calibri" w:eastAsia="Calibri" w:hAnsi="Calibri" w:cs="Calibri"/>
          <w:b/>
          <w:iCs/>
          <w:szCs w:val="22"/>
          <w:lang w:eastAsia="en-US"/>
        </w:rPr>
        <w:lastRenderedPageBreak/>
        <w:t>Articolul 2 –  Alte obligații specifice ale AM:</w:t>
      </w:r>
    </w:p>
    <w:p w:rsidR="004A44AC" w:rsidRPr="004A44AC" w:rsidRDefault="004A44AC" w:rsidP="004A44AC">
      <w:pPr>
        <w:ind w:left="360"/>
        <w:contextualSpacing/>
        <w:jc w:val="both"/>
        <w:rPr>
          <w:rFonts w:ascii="Calibri" w:eastAsia="Calibri" w:hAnsi="Calibri" w:cs="Calibri"/>
          <w:iCs/>
          <w:szCs w:val="22"/>
          <w:lang w:eastAsia="en-US"/>
        </w:rPr>
      </w:pPr>
    </w:p>
    <w:p w:rsidR="004A44AC" w:rsidRDefault="004A44AC" w:rsidP="004A44AC">
      <w:pPr>
        <w:numPr>
          <w:ilvl w:val="3"/>
          <w:numId w:val="57"/>
        </w:numPr>
        <w:spacing w:after="160" w:line="256" w:lineRule="auto"/>
        <w:jc w:val="both"/>
        <w:rPr>
          <w:b/>
        </w:rPr>
      </w:pPr>
      <w:r>
        <w:rPr>
          <w:rFonts w:ascii="Calibri" w:hAnsi="Calibri" w:cs="Calibri"/>
          <w:bCs/>
        </w:rPr>
        <w:t>AM are obligația ca în termen de 10 zile de la sfârșitul perioadei de implementare a proiectului să verifice includerea parțială/totală obiectivului în circuitul public</w:t>
      </w:r>
      <w:r>
        <w:t>.</w:t>
      </w:r>
    </w:p>
    <w:p w:rsidR="004A44AC" w:rsidRPr="008127D5" w:rsidRDefault="004A44AC" w:rsidP="004A44AC">
      <w:pPr>
        <w:ind w:left="360"/>
        <w:contextualSpacing/>
        <w:jc w:val="both"/>
        <w:rPr>
          <w:rFonts w:ascii="Calibri" w:eastAsia="Calibri" w:hAnsi="Calibri" w:cs="Calibri"/>
          <w:iCs/>
          <w:color w:val="FF0000"/>
          <w:szCs w:val="22"/>
          <w:lang w:eastAsia="en-US"/>
        </w:rPr>
      </w:pPr>
    </w:p>
    <w:p w:rsidR="008127D5" w:rsidRPr="008127D5" w:rsidRDefault="008127D5" w:rsidP="008127D5">
      <w:pPr>
        <w:spacing w:after="160" w:line="259" w:lineRule="auto"/>
        <w:rPr>
          <w:rFonts w:ascii="Calibri" w:eastAsia="Calibri" w:hAnsi="Calibri" w:cs="Calibri"/>
          <w:color w:val="FF0000"/>
          <w:sz w:val="22"/>
          <w:szCs w:val="22"/>
          <w:lang w:val="en-US" w:eastAsia="en-US"/>
        </w:rPr>
      </w:pPr>
    </w:p>
    <w:p w:rsidR="00E81FBB" w:rsidRPr="006F0920" w:rsidRDefault="00E81FBB" w:rsidP="008754A2">
      <w:pPr>
        <w:spacing w:before="120" w:after="120"/>
        <w:jc w:val="both"/>
        <w:rPr>
          <w:rFonts w:ascii="Calibri" w:hAnsi="Calibri" w:cs="Calibri"/>
          <w:b/>
          <w:lang w:eastAsia="en-GB"/>
        </w:rPr>
      </w:pPr>
    </w:p>
    <w:sectPr w:rsidR="00E81FBB" w:rsidRPr="006F0920" w:rsidSect="0069529C">
      <w:headerReference w:type="even" r:id="rId11"/>
      <w:headerReference w:type="default" r:id="rId12"/>
      <w:footerReference w:type="even" r:id="rId13"/>
      <w:footerReference w:type="default" r:id="rId14"/>
      <w:headerReference w:type="first" r:id="rId15"/>
      <w:footerReference w:type="first" r:id="rId16"/>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D51" w:rsidRDefault="00D82D51">
      <w:r>
        <w:separator/>
      </w:r>
    </w:p>
  </w:endnote>
  <w:endnote w:type="continuationSeparator" w:id="0">
    <w:p w:rsidR="00D82D51" w:rsidRDefault="00D82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04C" w:rsidRDefault="000E2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B65970"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B65970">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D51" w:rsidRDefault="00D82D51">
      <w:r>
        <w:separator/>
      </w:r>
    </w:p>
  </w:footnote>
  <w:footnote w:type="continuationSeparator" w:id="0">
    <w:p w:rsidR="00D82D51" w:rsidRDefault="00D82D51">
      <w:r>
        <w:continuationSeparator/>
      </w:r>
    </w:p>
  </w:footnote>
  <w:footnote w:id="1">
    <w:p w:rsidR="0069529C" w:rsidRPr="006F0920" w:rsidRDefault="0069529C"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w:t>
      </w:r>
      <w:r w:rsidR="0002739A" w:rsidRPr="006F0920">
        <w:rPr>
          <w:rFonts w:ascii="Calibri" w:hAnsi="Calibri" w:cs="Calibri"/>
          <w:sz w:val="18"/>
          <w:szCs w:val="18"/>
          <w:lang w:val="ro-RO"/>
        </w:rPr>
        <w:t>încadrează</w:t>
      </w:r>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specVanish w:val="0"/>
        </w:rPr>
        <w:t xml:space="preserve">pentru stabilirea cadrului legal privind eligibilitatea cheltuielilor efectuate de beneficiari în cadrul </w:t>
      </w:r>
      <w:r w:rsidR="0002739A" w:rsidRPr="006F0920">
        <w:rPr>
          <w:rStyle w:val="przm1"/>
          <w:rFonts w:ascii="Calibri" w:hAnsi="Calibri" w:cs="Calibri"/>
          <w:b w:val="0"/>
          <w:sz w:val="18"/>
          <w:szCs w:val="18"/>
          <w:lang w:val="ro-RO"/>
          <w:specVanish w:val="0"/>
        </w:rPr>
        <w:t>operațiunilor</w:t>
      </w:r>
      <w:r w:rsidRPr="006F0920">
        <w:rPr>
          <w:rStyle w:val="przm1"/>
          <w:rFonts w:ascii="Calibri" w:hAnsi="Calibri" w:cs="Calibri"/>
          <w:b w:val="0"/>
          <w:sz w:val="18"/>
          <w:szCs w:val="18"/>
          <w:lang w:val="ro-RO"/>
          <w:specVanish w:val="0"/>
        </w:rPr>
        <w:t xml:space="preserve"> </w:t>
      </w:r>
      <w:r w:rsidR="0002739A" w:rsidRPr="006F0920">
        <w:rPr>
          <w:rStyle w:val="przm1"/>
          <w:rFonts w:ascii="Calibri" w:hAnsi="Calibri" w:cs="Calibri"/>
          <w:b w:val="0"/>
          <w:sz w:val="18"/>
          <w:szCs w:val="18"/>
          <w:lang w:val="ro-RO"/>
          <w:specVanish w:val="0"/>
        </w:rPr>
        <w:t>finanțate</w:t>
      </w:r>
      <w:r w:rsidRPr="006F0920">
        <w:rPr>
          <w:rStyle w:val="przm1"/>
          <w:rFonts w:ascii="Calibri" w:hAnsi="Calibri" w:cs="Calibri"/>
          <w:b w:val="0"/>
          <w:sz w:val="18"/>
          <w:szCs w:val="18"/>
          <w:lang w:val="ro-RO"/>
          <w:specVanish w:val="0"/>
        </w:rPr>
        <w:t xml:space="preserve"> în perioada de programare 2021-2027 prin Fondul european de dezvoltare regională, Fondul social european Plus, Fondul de coeziune şi Fondul pentru o </w:t>
      </w:r>
      <w:r w:rsidR="0002739A" w:rsidRPr="006F0920">
        <w:rPr>
          <w:rStyle w:val="przm1"/>
          <w:rFonts w:ascii="Calibri" w:hAnsi="Calibri" w:cs="Calibri"/>
          <w:b w:val="0"/>
          <w:sz w:val="18"/>
          <w:szCs w:val="18"/>
          <w:lang w:val="ro-RO"/>
          <w:specVanish w:val="0"/>
        </w:rPr>
        <w:t>tranziție</w:t>
      </w:r>
      <w:r w:rsidRPr="006F0920">
        <w:rPr>
          <w:rStyle w:val="przm1"/>
          <w:rFonts w:ascii="Calibri" w:hAnsi="Calibri" w:cs="Calibri"/>
          <w:b w:val="0"/>
          <w:sz w:val="18"/>
          <w:szCs w:val="18"/>
          <w:lang w:val="ro-RO"/>
          <w:specVanish w:val="0"/>
        </w:rPr>
        <w:t xml:space="preserve"> justă</w:t>
      </w:r>
    </w:p>
  </w:footnote>
  <w:footnote w:id="2">
    <w:p w:rsidR="0069529C" w:rsidRPr="006F0920" w:rsidRDefault="0069529C"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rsidR="008127D5" w:rsidRPr="003F14AD" w:rsidRDefault="008127D5" w:rsidP="008127D5">
      <w:pPr>
        <w:pStyle w:val="FootnoteText"/>
        <w:jc w:val="both"/>
      </w:pPr>
      <w:r>
        <w:rPr>
          <w:rStyle w:val="FootnoteReference"/>
        </w:rPr>
        <w:footnoteRef/>
      </w:r>
      <w:r>
        <w:t xml:space="preserve"> </w:t>
      </w:r>
      <w:proofErr w:type="spellStart"/>
      <w:r w:rsidRPr="00B43A83">
        <w:rPr>
          <w:sz w:val="18"/>
        </w:rPr>
        <w:t>Dacă</w:t>
      </w:r>
      <w:proofErr w:type="spellEnd"/>
      <w:r w:rsidRPr="00B43A83">
        <w:rPr>
          <w:sz w:val="18"/>
        </w:rPr>
        <w:t xml:space="preserve"> </w:t>
      </w:r>
      <w:proofErr w:type="spellStart"/>
      <w:r w:rsidRPr="00B43A83">
        <w:rPr>
          <w:sz w:val="18"/>
        </w:rPr>
        <w:t>prin</w:t>
      </w:r>
      <w:proofErr w:type="spellEnd"/>
      <w:r w:rsidRPr="00B43A83">
        <w:rPr>
          <w:sz w:val="18"/>
        </w:rPr>
        <w:t xml:space="preserve"> </w:t>
      </w:r>
      <w:proofErr w:type="spellStart"/>
      <w:r w:rsidRPr="00B43A83">
        <w:rPr>
          <w:sz w:val="18"/>
        </w:rPr>
        <w:t>proiect</w:t>
      </w:r>
      <w:proofErr w:type="spellEnd"/>
      <w:r w:rsidRPr="00B43A83">
        <w:rPr>
          <w:sz w:val="18"/>
        </w:rPr>
        <w:t xml:space="preserve"> sunt </w:t>
      </w:r>
      <w:proofErr w:type="spellStart"/>
      <w:r w:rsidRPr="005C5F30">
        <w:rPr>
          <w:sz w:val="18"/>
        </w:rPr>
        <w:t>finanţate</w:t>
      </w:r>
      <w:proofErr w:type="spellEnd"/>
      <w:r w:rsidRPr="005C5F30">
        <w:rPr>
          <w:sz w:val="18"/>
        </w:rPr>
        <w:t xml:space="preserve"> </w:t>
      </w:r>
      <w:proofErr w:type="spellStart"/>
      <w:r w:rsidRPr="005C5F30">
        <w:rPr>
          <w:sz w:val="18"/>
        </w:rPr>
        <w:t>activităţi</w:t>
      </w:r>
      <w:proofErr w:type="spellEnd"/>
      <w:r w:rsidRPr="005C5F30">
        <w:rPr>
          <w:sz w:val="18"/>
        </w:rPr>
        <w:t xml:space="preserve"> </w:t>
      </w:r>
      <w:proofErr w:type="spellStart"/>
      <w:r w:rsidRPr="005C5F30">
        <w:rPr>
          <w:sz w:val="18"/>
        </w:rPr>
        <w:t>specifice</w:t>
      </w:r>
      <w:proofErr w:type="spellEnd"/>
      <w:r w:rsidRPr="005C5F30">
        <w:rPr>
          <w:sz w:val="18"/>
        </w:rPr>
        <w:t xml:space="preserve"> </w:t>
      </w:r>
      <w:proofErr w:type="spellStart"/>
      <w:r w:rsidRPr="005C5F30">
        <w:rPr>
          <w:sz w:val="18"/>
        </w:rPr>
        <w:t>infrastructurii</w:t>
      </w:r>
      <w:proofErr w:type="spellEnd"/>
      <w:r w:rsidRPr="005C5F30">
        <w:rPr>
          <w:sz w:val="18"/>
        </w:rPr>
        <w:t xml:space="preserve"> de </w:t>
      </w:r>
      <w:proofErr w:type="spellStart"/>
      <w:r w:rsidRPr="005C5F30">
        <w:rPr>
          <w:sz w:val="18"/>
        </w:rPr>
        <w:t>turism</w:t>
      </w:r>
      <w:proofErr w:type="spellEnd"/>
      <w:r w:rsidRPr="005C5F30">
        <w:rPr>
          <w:sz w:val="18"/>
        </w:rPr>
        <w:t xml:space="preserve"> </w:t>
      </w:r>
      <w:proofErr w:type="spellStart"/>
      <w:r w:rsidRPr="005C5F30">
        <w:rPr>
          <w:sz w:val="18"/>
        </w:rPr>
        <w:t>în</w:t>
      </w:r>
      <w:proofErr w:type="spellEnd"/>
      <w:r w:rsidRPr="005C5F30">
        <w:rPr>
          <w:sz w:val="18"/>
        </w:rPr>
        <w:t xml:space="preserve"> </w:t>
      </w:r>
      <w:proofErr w:type="spellStart"/>
      <w:r w:rsidRPr="005C5F30">
        <w:rPr>
          <w:sz w:val="18"/>
        </w:rPr>
        <w:t>stațiuni</w:t>
      </w:r>
      <w:proofErr w:type="spellEnd"/>
      <w:r w:rsidRPr="005C5F30">
        <w:rPr>
          <w:sz w:val="18"/>
        </w:rPr>
        <w:t xml:space="preserve"> </w:t>
      </w:r>
      <w:proofErr w:type="spellStart"/>
      <w:r w:rsidRPr="005C5F30">
        <w:rPr>
          <w:sz w:val="18"/>
        </w:rPr>
        <w:t>balneare</w:t>
      </w:r>
      <w:proofErr w:type="spellEnd"/>
      <w:r w:rsidRPr="005C5F30">
        <w:rPr>
          <w:sz w:val="18"/>
        </w:rPr>
        <w:t xml:space="preserve">, </w:t>
      </w:r>
      <w:proofErr w:type="spellStart"/>
      <w:r w:rsidRPr="005C5F30">
        <w:rPr>
          <w:sz w:val="18"/>
        </w:rPr>
        <w:t>climatice</w:t>
      </w:r>
      <w:proofErr w:type="spellEnd"/>
      <w:r w:rsidRPr="005C5F30">
        <w:rPr>
          <w:sz w:val="18"/>
        </w:rPr>
        <w:t xml:space="preserve"> </w:t>
      </w:r>
      <w:proofErr w:type="spellStart"/>
      <w:r w:rsidRPr="005C5F30">
        <w:rPr>
          <w:sz w:val="18"/>
        </w:rPr>
        <w:t>și</w:t>
      </w:r>
      <w:proofErr w:type="spellEnd"/>
      <w:r w:rsidRPr="005C5F30">
        <w:rPr>
          <w:sz w:val="18"/>
        </w:rPr>
        <w:t xml:space="preserve"> </w:t>
      </w:r>
      <w:proofErr w:type="spellStart"/>
      <w:r w:rsidRPr="005C5F30">
        <w:rPr>
          <w:sz w:val="18"/>
        </w:rPr>
        <w:t>balneoclimatice</w:t>
      </w:r>
      <w:proofErr w:type="spellEnd"/>
      <w:r w:rsidRPr="005C5F30">
        <w:rPr>
          <w:sz w:val="18"/>
        </w:rPr>
        <w:t>.</w:t>
      </w:r>
    </w:p>
  </w:footnote>
  <w:footnote w:id="4">
    <w:p w:rsidR="008127D5" w:rsidRDefault="008127D5" w:rsidP="008127D5">
      <w:pPr>
        <w:pStyle w:val="FootnoteText"/>
      </w:pPr>
      <w:r>
        <w:rPr>
          <w:rStyle w:val="FootnoteReference"/>
        </w:rPr>
        <w:footnoteRef/>
      </w:r>
      <w:r>
        <w:t xml:space="preserve"> </w:t>
      </w:r>
      <w:proofErr w:type="spellStart"/>
      <w:r>
        <w:t>Dacă</w:t>
      </w:r>
      <w:proofErr w:type="spellEnd"/>
      <w:r>
        <w:t xml:space="preserve"> </w:t>
      </w:r>
      <w:proofErr w:type="spellStart"/>
      <w:r>
        <w:t>prin</w:t>
      </w:r>
      <w:proofErr w:type="spellEnd"/>
      <w:r>
        <w:t xml:space="preserve"> </w:t>
      </w:r>
      <w:proofErr w:type="spellStart"/>
      <w:r>
        <w:t>proiect</w:t>
      </w:r>
      <w:proofErr w:type="spellEnd"/>
      <w:r>
        <w:t xml:space="preserve"> sunt </w:t>
      </w:r>
      <w:proofErr w:type="spellStart"/>
      <w:r>
        <w:t>finanțate</w:t>
      </w:r>
      <w:proofErr w:type="spellEnd"/>
      <w:r>
        <w:t xml:space="preserve"> </w:t>
      </w:r>
      <w:proofErr w:type="spellStart"/>
      <w:r>
        <w:t>activități</w:t>
      </w:r>
      <w:proofErr w:type="spellEnd"/>
      <w:r>
        <w:t xml:space="preserve"> </w:t>
      </w:r>
      <w:proofErr w:type="spellStart"/>
      <w:r>
        <w:t>aferente</w:t>
      </w:r>
      <w:proofErr w:type="spellEnd"/>
      <w:r>
        <w:t xml:space="preserve"> </w:t>
      </w:r>
      <w:proofErr w:type="spellStart"/>
      <w:r>
        <w:t>obiectivelor</w:t>
      </w:r>
      <w:proofErr w:type="spellEnd"/>
      <w:r>
        <w:t xml:space="preserve"> de </w:t>
      </w:r>
      <w:proofErr w:type="spellStart"/>
      <w:r>
        <w:t>patrimoniu</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04C" w:rsidRDefault="000E20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0704" o:spid="_x0000_s19458"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0E204C">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0705" o:spid="_x0000_s19459"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B65970"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282E0C">
      <w:rPr>
        <w:noProof/>
        <w:color w:val="999999"/>
        <w:sz w:val="20"/>
        <w:szCs w:val="20"/>
      </w:rPr>
      <w:t>39</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282E0C">
      <w:rPr>
        <w:noProof/>
        <w:color w:val="999999"/>
        <w:sz w:val="20"/>
        <w:szCs w:val="20"/>
      </w:rPr>
      <w:t>39</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0E204C">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0703" o:spid="_x0000_s19457"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B65970">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B65970">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B65970">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46220"/>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0D06DE"/>
    <w:multiLevelType w:val="hybridMultilevel"/>
    <w:tmpl w:val="BE2AF946"/>
    <w:lvl w:ilvl="0" w:tplc="7738FDF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321C5"/>
    <w:multiLevelType w:val="hybridMultilevel"/>
    <w:tmpl w:val="31C6CD60"/>
    <w:lvl w:ilvl="0" w:tplc="B74458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3FA1F24"/>
    <w:multiLevelType w:val="hybridMultilevel"/>
    <w:tmpl w:val="DF066B14"/>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8" w15:restartNumberingAfterBreak="0">
    <w:nsid w:val="70F47E31"/>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5"/>
  </w:num>
  <w:num w:numId="4">
    <w:abstractNumId w:val="37"/>
  </w:num>
  <w:num w:numId="5">
    <w:abstractNumId w:val="53"/>
  </w:num>
  <w:num w:numId="6">
    <w:abstractNumId w:val="59"/>
  </w:num>
  <w:num w:numId="7">
    <w:abstractNumId w:val="19"/>
  </w:num>
  <w:num w:numId="8">
    <w:abstractNumId w:val="60"/>
  </w:num>
  <w:num w:numId="9">
    <w:abstractNumId w:val="8"/>
  </w:num>
  <w:num w:numId="10">
    <w:abstractNumId w:val="10"/>
  </w:num>
  <w:num w:numId="11">
    <w:abstractNumId w:val="13"/>
  </w:num>
  <w:num w:numId="12">
    <w:abstractNumId w:val="40"/>
  </w:num>
  <w:num w:numId="13">
    <w:abstractNumId w:val="21"/>
  </w:num>
  <w:num w:numId="14">
    <w:abstractNumId w:val="47"/>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7"/>
  </w:num>
  <w:num w:numId="20">
    <w:abstractNumId w:val="42"/>
  </w:num>
  <w:num w:numId="21">
    <w:abstractNumId w:val="43"/>
  </w:num>
  <w:num w:numId="22">
    <w:abstractNumId w:val="55"/>
  </w:num>
  <w:num w:numId="23">
    <w:abstractNumId w:val="34"/>
  </w:num>
  <w:num w:numId="24">
    <w:abstractNumId w:val="46"/>
  </w:num>
  <w:num w:numId="25">
    <w:abstractNumId w:val="41"/>
  </w:num>
  <w:num w:numId="26">
    <w:abstractNumId w:val="9"/>
  </w:num>
  <w:num w:numId="27">
    <w:abstractNumId w:val="18"/>
  </w:num>
  <w:num w:numId="28">
    <w:abstractNumId w:val="0"/>
  </w:num>
  <w:num w:numId="29">
    <w:abstractNumId w:val="54"/>
  </w:num>
  <w:num w:numId="30">
    <w:abstractNumId w:val="56"/>
  </w:num>
  <w:num w:numId="31">
    <w:abstractNumId w:val="49"/>
  </w:num>
  <w:num w:numId="32">
    <w:abstractNumId w:val="12"/>
  </w:num>
  <w:num w:numId="33">
    <w:abstractNumId w:val="38"/>
  </w:num>
  <w:num w:numId="34">
    <w:abstractNumId w:val="61"/>
  </w:num>
  <w:num w:numId="35">
    <w:abstractNumId w:val="15"/>
  </w:num>
  <w:num w:numId="36">
    <w:abstractNumId w:val="31"/>
  </w:num>
  <w:num w:numId="37">
    <w:abstractNumId w:val="23"/>
  </w:num>
  <w:num w:numId="38">
    <w:abstractNumId w:val="26"/>
  </w:num>
  <w:num w:numId="39">
    <w:abstractNumId w:val="2"/>
  </w:num>
  <w:num w:numId="40">
    <w:abstractNumId w:val="25"/>
  </w:num>
  <w:num w:numId="41">
    <w:abstractNumId w:val="44"/>
  </w:num>
  <w:num w:numId="42">
    <w:abstractNumId w:val="33"/>
  </w:num>
  <w:num w:numId="43">
    <w:abstractNumId w:val="50"/>
  </w:num>
  <w:num w:numId="44">
    <w:abstractNumId w:val="17"/>
  </w:num>
  <w:num w:numId="45">
    <w:abstractNumId w:val="22"/>
  </w:num>
  <w:num w:numId="46">
    <w:abstractNumId w:val="51"/>
  </w:num>
  <w:num w:numId="47">
    <w:abstractNumId w:val="45"/>
  </w:num>
  <w:num w:numId="48">
    <w:abstractNumId w:val="36"/>
  </w:num>
  <w:num w:numId="49">
    <w:abstractNumId w:val="5"/>
  </w:num>
  <w:num w:numId="50">
    <w:abstractNumId w:val="1"/>
  </w:num>
  <w:num w:numId="51">
    <w:abstractNumId w:val="39"/>
  </w:num>
  <w:num w:numId="52">
    <w:abstractNumId w:val="35"/>
  </w:num>
  <w:num w:numId="53">
    <w:abstractNumId w:val="16"/>
  </w:num>
  <w:num w:numId="54">
    <w:abstractNumId w:val="48"/>
  </w:num>
  <w:num w:numId="55">
    <w:abstractNumId w:val="52"/>
  </w:num>
  <w:num w:numId="56">
    <w:abstractNumId w:val="27"/>
  </w:num>
  <w:num w:numId="57">
    <w:abstractNumId w:val="29"/>
  </w:num>
  <w:num w:numId="58">
    <w:abstractNumId w:val="30"/>
  </w:num>
  <w:num w:numId="59">
    <w:abstractNumId w:val="62"/>
  </w:num>
  <w:num w:numId="60">
    <w:abstractNumId w:val="66"/>
  </w:num>
  <w:num w:numId="61">
    <w:abstractNumId w:val="57"/>
  </w:num>
  <w:num w:numId="62">
    <w:abstractNumId w:val="20"/>
  </w:num>
  <w:num w:numId="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4"/>
  </w:num>
  <w:num w:numId="66">
    <w:abstractNumId w:val="28"/>
  </w:num>
  <w:num w:numId="67">
    <w:abstractNumId w:val="11"/>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9460"/>
    <o:shapelayout v:ext="edit">
      <o:idmap v:ext="edit" data="1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1A75"/>
    <w:rsid w:val="0002739A"/>
    <w:rsid w:val="00032D51"/>
    <w:rsid w:val="00053C3F"/>
    <w:rsid w:val="000605C7"/>
    <w:rsid w:val="000659D0"/>
    <w:rsid w:val="00072DDE"/>
    <w:rsid w:val="00080850"/>
    <w:rsid w:val="0009018B"/>
    <w:rsid w:val="00094830"/>
    <w:rsid w:val="000C2AAE"/>
    <w:rsid w:val="000D7907"/>
    <w:rsid w:val="000E18B4"/>
    <w:rsid w:val="000E204C"/>
    <w:rsid w:val="000F3C62"/>
    <w:rsid w:val="00110DC9"/>
    <w:rsid w:val="001175F2"/>
    <w:rsid w:val="00117A18"/>
    <w:rsid w:val="001357F6"/>
    <w:rsid w:val="00136BA6"/>
    <w:rsid w:val="00144BFD"/>
    <w:rsid w:val="00164BF8"/>
    <w:rsid w:val="00177A1A"/>
    <w:rsid w:val="00182505"/>
    <w:rsid w:val="001B13AF"/>
    <w:rsid w:val="001C3C69"/>
    <w:rsid w:val="001C7EC2"/>
    <w:rsid w:val="00233F6D"/>
    <w:rsid w:val="00265B72"/>
    <w:rsid w:val="0027688C"/>
    <w:rsid w:val="00282E0C"/>
    <w:rsid w:val="00285FAF"/>
    <w:rsid w:val="00292756"/>
    <w:rsid w:val="002B3BB9"/>
    <w:rsid w:val="002E07E9"/>
    <w:rsid w:val="002F1246"/>
    <w:rsid w:val="00314A1F"/>
    <w:rsid w:val="003223DB"/>
    <w:rsid w:val="00351F71"/>
    <w:rsid w:val="00376CFE"/>
    <w:rsid w:val="00390F6D"/>
    <w:rsid w:val="00392435"/>
    <w:rsid w:val="003A1982"/>
    <w:rsid w:val="003C1C74"/>
    <w:rsid w:val="003D5E78"/>
    <w:rsid w:val="003E2E03"/>
    <w:rsid w:val="003F3CCE"/>
    <w:rsid w:val="00412277"/>
    <w:rsid w:val="0041618E"/>
    <w:rsid w:val="0046673F"/>
    <w:rsid w:val="00474F02"/>
    <w:rsid w:val="0047757D"/>
    <w:rsid w:val="004A1A72"/>
    <w:rsid w:val="004A44AC"/>
    <w:rsid w:val="004B33BA"/>
    <w:rsid w:val="004E10D3"/>
    <w:rsid w:val="005036C2"/>
    <w:rsid w:val="0050607A"/>
    <w:rsid w:val="00523BEA"/>
    <w:rsid w:val="00547968"/>
    <w:rsid w:val="00552E59"/>
    <w:rsid w:val="00573BAC"/>
    <w:rsid w:val="005917F8"/>
    <w:rsid w:val="005945F9"/>
    <w:rsid w:val="005A538C"/>
    <w:rsid w:val="005A6B00"/>
    <w:rsid w:val="005A7E22"/>
    <w:rsid w:val="005B0126"/>
    <w:rsid w:val="005B016A"/>
    <w:rsid w:val="005C21C9"/>
    <w:rsid w:val="005C7AFF"/>
    <w:rsid w:val="005E0C55"/>
    <w:rsid w:val="005E7C44"/>
    <w:rsid w:val="00613B28"/>
    <w:rsid w:val="00643AC4"/>
    <w:rsid w:val="006613B0"/>
    <w:rsid w:val="00666796"/>
    <w:rsid w:val="00681662"/>
    <w:rsid w:val="0069529C"/>
    <w:rsid w:val="006A1167"/>
    <w:rsid w:val="006A5A59"/>
    <w:rsid w:val="006B79B9"/>
    <w:rsid w:val="006D4CC5"/>
    <w:rsid w:val="006F0920"/>
    <w:rsid w:val="00700894"/>
    <w:rsid w:val="00705218"/>
    <w:rsid w:val="00710FE0"/>
    <w:rsid w:val="007209E0"/>
    <w:rsid w:val="00724CFE"/>
    <w:rsid w:val="0073067F"/>
    <w:rsid w:val="00754551"/>
    <w:rsid w:val="00793276"/>
    <w:rsid w:val="007A69A6"/>
    <w:rsid w:val="007C403D"/>
    <w:rsid w:val="007E3A86"/>
    <w:rsid w:val="008036BF"/>
    <w:rsid w:val="008127D5"/>
    <w:rsid w:val="00824EA4"/>
    <w:rsid w:val="00835624"/>
    <w:rsid w:val="008374B4"/>
    <w:rsid w:val="00851382"/>
    <w:rsid w:val="00855A93"/>
    <w:rsid w:val="008754A2"/>
    <w:rsid w:val="0088290B"/>
    <w:rsid w:val="00885250"/>
    <w:rsid w:val="00897742"/>
    <w:rsid w:val="008A0119"/>
    <w:rsid w:val="008A3211"/>
    <w:rsid w:val="008C26CE"/>
    <w:rsid w:val="008C3CFC"/>
    <w:rsid w:val="008C42FF"/>
    <w:rsid w:val="008E7688"/>
    <w:rsid w:val="009149C4"/>
    <w:rsid w:val="009314F2"/>
    <w:rsid w:val="00936CF8"/>
    <w:rsid w:val="0095716B"/>
    <w:rsid w:val="00967996"/>
    <w:rsid w:val="0098612D"/>
    <w:rsid w:val="00986F21"/>
    <w:rsid w:val="009B3351"/>
    <w:rsid w:val="009C7B06"/>
    <w:rsid w:val="009D7599"/>
    <w:rsid w:val="009F711B"/>
    <w:rsid w:val="00A05105"/>
    <w:rsid w:val="00A05B5D"/>
    <w:rsid w:val="00A1707F"/>
    <w:rsid w:val="00A41424"/>
    <w:rsid w:val="00A56FF4"/>
    <w:rsid w:val="00A74224"/>
    <w:rsid w:val="00A81F77"/>
    <w:rsid w:val="00AC4479"/>
    <w:rsid w:val="00AC7FEA"/>
    <w:rsid w:val="00AD517A"/>
    <w:rsid w:val="00AE42B1"/>
    <w:rsid w:val="00AE4990"/>
    <w:rsid w:val="00AE77D1"/>
    <w:rsid w:val="00AF72FA"/>
    <w:rsid w:val="00B15233"/>
    <w:rsid w:val="00B43FDA"/>
    <w:rsid w:val="00B539AC"/>
    <w:rsid w:val="00B60175"/>
    <w:rsid w:val="00B65970"/>
    <w:rsid w:val="00B70411"/>
    <w:rsid w:val="00BA79EF"/>
    <w:rsid w:val="00BD3175"/>
    <w:rsid w:val="00BE03F0"/>
    <w:rsid w:val="00BE392F"/>
    <w:rsid w:val="00BF0B36"/>
    <w:rsid w:val="00C03E54"/>
    <w:rsid w:val="00C05C7A"/>
    <w:rsid w:val="00C10EED"/>
    <w:rsid w:val="00C45BE3"/>
    <w:rsid w:val="00C46F48"/>
    <w:rsid w:val="00C82709"/>
    <w:rsid w:val="00C82AD1"/>
    <w:rsid w:val="00C916A3"/>
    <w:rsid w:val="00C93B41"/>
    <w:rsid w:val="00CB7219"/>
    <w:rsid w:val="00CC6C98"/>
    <w:rsid w:val="00CD1B67"/>
    <w:rsid w:val="00CD2C44"/>
    <w:rsid w:val="00CD624C"/>
    <w:rsid w:val="00CE42B7"/>
    <w:rsid w:val="00CF437E"/>
    <w:rsid w:val="00CF66AE"/>
    <w:rsid w:val="00D01958"/>
    <w:rsid w:val="00D22014"/>
    <w:rsid w:val="00D31323"/>
    <w:rsid w:val="00D368D4"/>
    <w:rsid w:val="00D41991"/>
    <w:rsid w:val="00D82D51"/>
    <w:rsid w:val="00D94812"/>
    <w:rsid w:val="00D96085"/>
    <w:rsid w:val="00DC29DD"/>
    <w:rsid w:val="00DD113C"/>
    <w:rsid w:val="00E05313"/>
    <w:rsid w:val="00E11EB3"/>
    <w:rsid w:val="00E32BBC"/>
    <w:rsid w:val="00E57E35"/>
    <w:rsid w:val="00E67594"/>
    <w:rsid w:val="00E753B1"/>
    <w:rsid w:val="00E81FBB"/>
    <w:rsid w:val="00ED5174"/>
    <w:rsid w:val="00EF6CD7"/>
    <w:rsid w:val="00EF75EC"/>
    <w:rsid w:val="00F056C6"/>
    <w:rsid w:val="00F12E7F"/>
    <w:rsid w:val="00F167CD"/>
    <w:rsid w:val="00F71706"/>
    <w:rsid w:val="00F84A7C"/>
    <w:rsid w:val="00FB14B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60"/>
    <o:shapelayout v:ext="edit">
      <o:idmap v:ext="edit" data="1"/>
    </o:shapelayout>
  </w:shapeDefaults>
  <w:decimalSymbol w:val="."/>
  <w:listSeparator w:val=","/>
  <w15:chartTrackingRefBased/>
  <w15:docId w15:val="{8969ED0B-D476-47AB-8730-78E963CE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66806446">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F0B04-7563-4726-8DE2-BF93697DC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12</TotalTime>
  <Pages>39</Pages>
  <Words>15510</Words>
  <Characters>97151</Characters>
  <Application>Microsoft Office Word</Application>
  <DocSecurity>0</DocSecurity>
  <Lines>809</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112437</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12</cp:revision>
  <cp:lastPrinted>2023-07-07T10:34:00Z</cp:lastPrinted>
  <dcterms:created xsi:type="dcterms:W3CDTF">2023-08-09T11:25:00Z</dcterms:created>
  <dcterms:modified xsi:type="dcterms:W3CDTF">2023-10-25T10:55:00Z</dcterms:modified>
</cp:coreProperties>
</file>